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EC6DB2" w:rsidRPr="00ED1A3A" w:rsidRDefault="00EC6DB2" w:rsidP="00ED1A3A">
      <w:pPr>
        <w:spacing w:line="360" w:lineRule="auto"/>
        <w:rPr>
          <w:rFonts w:asciiTheme="majorHAnsi" w:hAnsiTheme="majorHAnsi"/>
          <w:sz w:val="22"/>
          <w:szCs w:val="22"/>
        </w:rPr>
      </w:pPr>
    </w:p>
    <w:p w:rsidR="00B22DFE" w:rsidRPr="00D606F7" w:rsidRDefault="00EC6DB2" w:rsidP="00ED1A3A">
      <w:pPr>
        <w:pStyle w:val="DIVERTIANOTAPRENSA"/>
        <w:spacing w:line="360" w:lineRule="auto"/>
        <w:outlineLvl w:val="0"/>
        <w:rPr>
          <w:rFonts w:asciiTheme="majorHAnsi" w:hAnsiTheme="majorHAnsi" w:cstheme="majorHAnsi"/>
          <w:sz w:val="28"/>
          <w:szCs w:val="28"/>
          <w:u w:val="single"/>
        </w:rPr>
      </w:pPr>
      <w:r w:rsidRPr="00D606F7">
        <w:rPr>
          <w:rFonts w:asciiTheme="majorHAnsi" w:hAnsiTheme="majorHAnsi" w:cstheme="majorHAnsi"/>
          <w:sz w:val="28"/>
          <w:szCs w:val="28"/>
          <w:u w:val="single"/>
        </w:rPr>
        <w:t>NOTA DE PRENSA</w:t>
      </w:r>
    </w:p>
    <w:p w:rsidR="006E25A4" w:rsidRDefault="006E25A4" w:rsidP="00ED1A3A">
      <w:pPr>
        <w:spacing w:line="360" w:lineRule="auto"/>
        <w:ind w:left="0"/>
        <w:rPr>
          <w:rFonts w:asciiTheme="majorHAnsi" w:hAnsiTheme="majorHAnsi" w:cs="Arial"/>
          <w:b/>
          <w:sz w:val="24"/>
          <w:szCs w:val="24"/>
        </w:rPr>
      </w:pPr>
    </w:p>
    <w:p w:rsidR="00434580" w:rsidRPr="00434580" w:rsidRDefault="000D6CB0" w:rsidP="00434580">
      <w:pPr>
        <w:ind w:left="0"/>
        <w:rPr>
          <w:rFonts w:asciiTheme="majorHAnsi" w:hAnsiTheme="majorHAnsi" w:cstheme="minorHAnsi"/>
          <w:b/>
          <w:bCs/>
          <w:sz w:val="28"/>
          <w:szCs w:val="28"/>
        </w:rPr>
      </w:pPr>
      <w:r>
        <w:rPr>
          <w:rFonts w:asciiTheme="majorHAnsi" w:hAnsiTheme="majorHAnsi" w:cstheme="minorHAnsi"/>
          <w:b/>
          <w:bCs/>
          <w:sz w:val="28"/>
          <w:szCs w:val="28"/>
        </w:rPr>
        <w:t>La Junta de Gobierno aprueba una subvención de más de 90.000 euros para contrataciones de personal en tres empresas</w:t>
      </w:r>
    </w:p>
    <w:p w:rsidR="00434580" w:rsidRPr="00434580" w:rsidRDefault="00434580" w:rsidP="00434580">
      <w:pPr>
        <w:rPr>
          <w:rFonts w:asciiTheme="majorHAnsi" w:hAnsiTheme="majorHAnsi" w:cstheme="minorHAnsi"/>
          <w:b/>
          <w:bCs/>
          <w:sz w:val="28"/>
          <w:szCs w:val="28"/>
        </w:rPr>
      </w:pPr>
    </w:p>
    <w:p w:rsidR="00434580" w:rsidRPr="00ED0970" w:rsidRDefault="00E01445" w:rsidP="00ED0970">
      <w:pPr>
        <w:pStyle w:val="Prrafodelista"/>
        <w:numPr>
          <w:ilvl w:val="0"/>
          <w:numId w:val="4"/>
        </w:numPr>
        <w:ind w:right="0"/>
        <w:rPr>
          <w:rFonts w:asciiTheme="majorHAnsi" w:hAnsiTheme="majorHAnsi" w:cstheme="minorHAnsi"/>
          <w:bCs/>
          <w:sz w:val="24"/>
          <w:szCs w:val="24"/>
        </w:rPr>
      </w:pPr>
      <w:r>
        <w:rPr>
          <w:rFonts w:asciiTheme="majorHAnsi" w:hAnsiTheme="majorHAnsi" w:cstheme="minorHAnsi"/>
          <w:b/>
          <w:sz w:val="24"/>
          <w:szCs w:val="24"/>
        </w:rPr>
        <w:t>L</w:t>
      </w:r>
      <w:r w:rsidR="00D77151">
        <w:rPr>
          <w:rFonts w:asciiTheme="majorHAnsi" w:hAnsiTheme="majorHAnsi" w:cstheme="minorHAnsi"/>
          <w:b/>
          <w:sz w:val="24"/>
          <w:szCs w:val="24"/>
        </w:rPr>
        <w:t>uz verde a 154</w:t>
      </w:r>
      <w:r w:rsidR="000D6CB0">
        <w:rPr>
          <w:rFonts w:asciiTheme="majorHAnsi" w:hAnsiTheme="majorHAnsi" w:cstheme="minorHAnsi"/>
          <w:b/>
          <w:sz w:val="24"/>
          <w:szCs w:val="24"/>
        </w:rPr>
        <w:t xml:space="preserve"> nuevas ayudas del programa ‘Gijón Reinicia’ por un importe global de 211.526’16 euros</w:t>
      </w:r>
    </w:p>
    <w:p w:rsidR="00ED0970" w:rsidRPr="00434580" w:rsidRDefault="00ED0970" w:rsidP="00ED0970">
      <w:pPr>
        <w:pStyle w:val="Prrafodelista"/>
        <w:ind w:right="0"/>
        <w:rPr>
          <w:rFonts w:asciiTheme="majorHAnsi" w:hAnsiTheme="majorHAnsi" w:cstheme="minorHAnsi"/>
          <w:bCs/>
          <w:sz w:val="24"/>
          <w:szCs w:val="24"/>
        </w:rPr>
      </w:pPr>
    </w:p>
    <w:p w:rsidR="00552A42" w:rsidRDefault="000D6CB0" w:rsidP="00ED097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La Junta de Gobierno, reunida esta mañana en sesión telemática, ha aprobado una subvención de 90.397’08 euros</w:t>
      </w:r>
      <w:r w:rsidR="00A67228">
        <w:rPr>
          <w:rFonts w:asciiTheme="majorHAnsi" w:hAnsiTheme="majorHAnsi" w:cstheme="minorHAnsi"/>
          <w:bCs/>
          <w:sz w:val="24"/>
          <w:szCs w:val="24"/>
        </w:rPr>
        <w:t xml:space="preserve"> para la contratación de seis trabajadores a jornada completa durante un año, en las empresas FEDECOR S.L., RODICAL HIDRÁULICA S.L. y Ascensores TRESA S.A. (dos trabajadores en cada empresa).</w:t>
      </w:r>
    </w:p>
    <w:p w:rsidR="00A67228" w:rsidRDefault="00A67228" w:rsidP="00ED0970">
      <w:pPr>
        <w:spacing w:line="276" w:lineRule="auto"/>
        <w:ind w:left="0"/>
        <w:rPr>
          <w:rFonts w:asciiTheme="majorHAnsi" w:hAnsiTheme="majorHAnsi" w:cstheme="minorHAnsi"/>
          <w:bCs/>
          <w:sz w:val="24"/>
          <w:szCs w:val="24"/>
        </w:rPr>
      </w:pPr>
    </w:p>
    <w:p w:rsidR="00A67228" w:rsidRDefault="00A67228" w:rsidP="00ED097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Estas subvenciones se enmarcan en el Plan de Empleo de colaboración público-privado con FEMETAL, aprobado en Junta de Gobierno el 11 de febrero de 2020, con un presupuesto de 220.000 euros. Cada una de las contrataciones se financiará mediante subvención municipal por un importe máximo de 15.066’18 euros.</w:t>
      </w:r>
    </w:p>
    <w:p w:rsidR="00A67228" w:rsidRDefault="00A67228" w:rsidP="00ED0970">
      <w:pPr>
        <w:spacing w:line="276" w:lineRule="auto"/>
        <w:ind w:left="0"/>
        <w:rPr>
          <w:rFonts w:asciiTheme="majorHAnsi" w:hAnsiTheme="majorHAnsi" w:cstheme="minorHAnsi"/>
          <w:bCs/>
          <w:sz w:val="24"/>
          <w:szCs w:val="24"/>
        </w:rPr>
      </w:pPr>
    </w:p>
    <w:p w:rsidR="00A67228" w:rsidRDefault="00A67228" w:rsidP="00ED097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Por ot</w:t>
      </w:r>
      <w:r w:rsidR="00D77151">
        <w:rPr>
          <w:rFonts w:asciiTheme="majorHAnsi" w:hAnsiTheme="majorHAnsi" w:cstheme="minorHAnsi"/>
          <w:bCs/>
          <w:sz w:val="24"/>
          <w:szCs w:val="24"/>
        </w:rPr>
        <w:t>ro lado, se ha aprobado la novena</w:t>
      </w:r>
      <w:r>
        <w:rPr>
          <w:rFonts w:asciiTheme="majorHAnsi" w:hAnsiTheme="majorHAnsi" w:cstheme="minorHAnsi"/>
          <w:bCs/>
          <w:sz w:val="24"/>
          <w:szCs w:val="24"/>
        </w:rPr>
        <w:t xml:space="preserve"> tanda de ayudas del programa de reactivación económica ‘</w:t>
      </w:r>
      <w:r w:rsidR="00D77151">
        <w:rPr>
          <w:rFonts w:asciiTheme="majorHAnsi" w:hAnsiTheme="majorHAnsi" w:cstheme="minorHAnsi"/>
          <w:bCs/>
          <w:sz w:val="24"/>
          <w:szCs w:val="24"/>
        </w:rPr>
        <w:t>Gijón Reinicia’. Se trata de 154</w:t>
      </w:r>
      <w:r>
        <w:rPr>
          <w:rFonts w:asciiTheme="majorHAnsi" w:hAnsiTheme="majorHAnsi" w:cstheme="minorHAnsi"/>
          <w:bCs/>
          <w:sz w:val="24"/>
          <w:szCs w:val="24"/>
        </w:rPr>
        <w:t xml:space="preserve"> nuevas ayudas</w:t>
      </w:r>
      <w:r w:rsidR="00D77151">
        <w:rPr>
          <w:rFonts w:asciiTheme="majorHAnsi" w:hAnsiTheme="majorHAnsi" w:cstheme="minorHAnsi"/>
          <w:bCs/>
          <w:sz w:val="24"/>
          <w:szCs w:val="24"/>
        </w:rPr>
        <w:t xml:space="preserve"> cuyo importe asciende a 211.526’16 euros, y con las que la suma total de solicitudes tramitadas es de 1.588, el 77’8% del total de la convocatoria.</w:t>
      </w:r>
    </w:p>
    <w:p w:rsidR="00D77151" w:rsidRDefault="00D77151" w:rsidP="00ED0970">
      <w:pPr>
        <w:spacing w:line="276" w:lineRule="auto"/>
        <w:ind w:left="0"/>
        <w:rPr>
          <w:rFonts w:asciiTheme="majorHAnsi" w:hAnsiTheme="majorHAnsi" w:cstheme="minorHAnsi"/>
          <w:bCs/>
          <w:sz w:val="24"/>
          <w:szCs w:val="24"/>
        </w:rPr>
      </w:pPr>
    </w:p>
    <w:p w:rsidR="007F061A" w:rsidRDefault="007F061A" w:rsidP="00ED0970">
      <w:pPr>
        <w:spacing w:line="276" w:lineRule="auto"/>
        <w:ind w:left="0"/>
        <w:rPr>
          <w:rFonts w:asciiTheme="majorHAnsi" w:hAnsiTheme="majorHAnsi" w:cstheme="minorHAnsi"/>
          <w:bCs/>
          <w:sz w:val="24"/>
          <w:szCs w:val="24"/>
        </w:rPr>
      </w:pPr>
    </w:p>
    <w:p w:rsidR="007F061A" w:rsidRDefault="007F061A" w:rsidP="00ED0970">
      <w:pPr>
        <w:spacing w:line="276" w:lineRule="auto"/>
        <w:ind w:left="0"/>
        <w:rPr>
          <w:rFonts w:asciiTheme="majorHAnsi" w:hAnsiTheme="majorHAnsi" w:cstheme="minorHAnsi"/>
          <w:bCs/>
          <w:sz w:val="24"/>
          <w:szCs w:val="24"/>
        </w:rPr>
      </w:pPr>
    </w:p>
    <w:p w:rsidR="007F061A" w:rsidRDefault="00D77151" w:rsidP="00ED097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La Junta de Gobierno ha aprobado también el acuerdo de adjudicación de la novación de ocho operaciones de endeudamiento a largo plazo, que deberá formalizarse en el primer cuatrimestre de este año 2021. </w:t>
      </w:r>
      <w:r w:rsidR="007F061A">
        <w:rPr>
          <w:rFonts w:asciiTheme="majorHAnsi" w:hAnsiTheme="majorHAnsi" w:cstheme="minorHAnsi"/>
          <w:bCs/>
          <w:sz w:val="24"/>
          <w:szCs w:val="24"/>
        </w:rPr>
        <w:t>Una vez formalizadas las nuevas operaciones de endeudamiento.</w:t>
      </w:r>
    </w:p>
    <w:tbl>
      <w:tblPr>
        <w:tblpPr w:leftFromText="141" w:rightFromText="141" w:vertAnchor="page" w:horzAnchor="margin" w:tblpY="2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3448"/>
        <w:gridCol w:w="3027"/>
      </w:tblGrid>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sz w:val="22"/>
                <w:szCs w:val="22"/>
              </w:rPr>
            </w:pPr>
            <w:r w:rsidRPr="007F061A">
              <w:rPr>
                <w:rFonts w:asciiTheme="majorHAnsi" w:hAnsiTheme="majorHAnsi"/>
                <w:sz w:val="22"/>
                <w:szCs w:val="22"/>
              </w:rPr>
              <w:lastRenderedPageBreak/>
              <w:t>Nº DE</w:t>
            </w:r>
          </w:p>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LOTE</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ENTIDAD FINANCIERA</w:t>
            </w:r>
          </w:p>
        </w:tc>
        <w:tc>
          <w:tcPr>
            <w:tcW w:w="3027" w:type="dxa"/>
          </w:tcPr>
          <w:p w:rsidR="007F061A" w:rsidRPr="007F061A" w:rsidRDefault="007F061A" w:rsidP="007F061A">
            <w:pPr>
              <w:autoSpaceDE w:val="0"/>
              <w:autoSpaceDN w:val="0"/>
              <w:adjustRightInd w:val="0"/>
              <w:rPr>
                <w:rFonts w:asciiTheme="majorHAnsi" w:hAnsiTheme="majorHAnsi"/>
                <w:sz w:val="22"/>
                <w:szCs w:val="22"/>
              </w:rPr>
            </w:pPr>
            <w:r w:rsidRPr="007F061A">
              <w:rPr>
                <w:rFonts w:asciiTheme="majorHAnsi" w:hAnsiTheme="majorHAnsi"/>
                <w:sz w:val="22"/>
                <w:szCs w:val="22"/>
              </w:rPr>
              <w:t>IMPORTE MÁXIMO DEL</w:t>
            </w:r>
          </w:p>
          <w:p w:rsidR="007F061A" w:rsidRPr="007F061A" w:rsidRDefault="007F061A" w:rsidP="007F061A">
            <w:pPr>
              <w:autoSpaceDE w:val="0"/>
              <w:autoSpaceDN w:val="0"/>
              <w:adjustRightInd w:val="0"/>
              <w:rPr>
                <w:rFonts w:asciiTheme="majorHAnsi" w:hAnsiTheme="majorHAnsi"/>
                <w:sz w:val="22"/>
                <w:szCs w:val="22"/>
              </w:rPr>
            </w:pPr>
            <w:r w:rsidRPr="007F061A">
              <w:rPr>
                <w:rFonts w:asciiTheme="majorHAnsi" w:hAnsiTheme="majorHAnsi"/>
                <w:sz w:val="22"/>
                <w:szCs w:val="22"/>
              </w:rPr>
              <w:t>PRÉSTAMO OBJETO DE</w:t>
            </w:r>
          </w:p>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NOVACIÓN</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1</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BANCO BILBAO VIZCAYA ARGENTARIA,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4.589.896,60€</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2</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BANCO BILBAO VIZCAYA ARGENTARIA,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10.312.500,00€</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3</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BANCO BILBAO VIZCAYA ARGENTARIA,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6.846.875,00€</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4</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BANCO BILBAO VIZCAYA ARGENTARIA,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10.019.036,17€</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5</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BANCO BILBAO VIZCAYA ARGENTARIA,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3.251.901,43€</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6</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LIBERBANK,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10.497.066,61€</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7</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UNICAJA BANCO,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4.589.886,95€</w:t>
            </w:r>
          </w:p>
        </w:tc>
      </w:tr>
      <w:tr w:rsidR="007F061A" w:rsidRPr="007F061A" w:rsidTr="007F061A">
        <w:tc>
          <w:tcPr>
            <w:tcW w:w="208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cs="Arial"/>
                <w:sz w:val="22"/>
                <w:szCs w:val="22"/>
              </w:rPr>
              <w:t>8</w:t>
            </w:r>
          </w:p>
        </w:tc>
        <w:tc>
          <w:tcPr>
            <w:tcW w:w="3448"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BANCO SABADELL, S.A.</w:t>
            </w:r>
          </w:p>
        </w:tc>
        <w:tc>
          <w:tcPr>
            <w:tcW w:w="3027" w:type="dxa"/>
          </w:tcPr>
          <w:p w:rsidR="007F061A" w:rsidRPr="007F061A" w:rsidRDefault="007F061A" w:rsidP="007F061A">
            <w:pPr>
              <w:autoSpaceDE w:val="0"/>
              <w:autoSpaceDN w:val="0"/>
              <w:adjustRightInd w:val="0"/>
              <w:rPr>
                <w:rFonts w:asciiTheme="majorHAnsi" w:hAnsiTheme="majorHAnsi" w:cs="Arial"/>
                <w:sz w:val="22"/>
                <w:szCs w:val="22"/>
              </w:rPr>
            </w:pPr>
            <w:r w:rsidRPr="007F061A">
              <w:rPr>
                <w:rFonts w:asciiTheme="majorHAnsi" w:hAnsiTheme="majorHAnsi"/>
                <w:sz w:val="22"/>
                <w:szCs w:val="22"/>
              </w:rPr>
              <w:t>3.251.901,52€</w:t>
            </w:r>
          </w:p>
        </w:tc>
      </w:tr>
    </w:tbl>
    <w:p w:rsidR="00552A42" w:rsidRDefault="00552A42" w:rsidP="00434580">
      <w:pPr>
        <w:spacing w:line="276" w:lineRule="auto"/>
        <w:ind w:left="0"/>
        <w:rPr>
          <w:rFonts w:asciiTheme="majorHAnsi" w:hAnsiTheme="majorHAnsi" w:cstheme="minorHAnsi"/>
          <w:bCs/>
          <w:sz w:val="22"/>
          <w:szCs w:val="22"/>
        </w:rPr>
      </w:pPr>
    </w:p>
    <w:p w:rsidR="007F061A" w:rsidRDefault="007F061A" w:rsidP="00434580">
      <w:pPr>
        <w:spacing w:line="276" w:lineRule="auto"/>
        <w:ind w:left="0"/>
        <w:rPr>
          <w:rFonts w:asciiTheme="majorHAnsi" w:hAnsiTheme="majorHAnsi" w:cstheme="minorHAnsi"/>
          <w:bCs/>
          <w:sz w:val="22"/>
          <w:szCs w:val="22"/>
        </w:rPr>
      </w:pPr>
    </w:p>
    <w:p w:rsidR="007F061A" w:rsidRDefault="007F061A" w:rsidP="00434580">
      <w:pPr>
        <w:spacing w:line="276" w:lineRule="auto"/>
        <w:ind w:left="0"/>
        <w:rPr>
          <w:rFonts w:asciiTheme="majorHAnsi" w:hAnsiTheme="majorHAnsi" w:cstheme="minorHAnsi"/>
          <w:bCs/>
          <w:sz w:val="24"/>
          <w:szCs w:val="24"/>
        </w:rPr>
      </w:pPr>
      <w:r w:rsidRPr="007F061A">
        <w:rPr>
          <w:rFonts w:asciiTheme="majorHAnsi" w:hAnsiTheme="majorHAnsi" w:cstheme="minorHAnsi"/>
          <w:bCs/>
          <w:sz w:val="24"/>
          <w:szCs w:val="24"/>
        </w:rPr>
        <w:t xml:space="preserve">Asimismo se han </w:t>
      </w:r>
      <w:r>
        <w:rPr>
          <w:rFonts w:asciiTheme="majorHAnsi" w:hAnsiTheme="majorHAnsi" w:cstheme="minorHAnsi"/>
          <w:bCs/>
          <w:sz w:val="24"/>
          <w:szCs w:val="24"/>
        </w:rPr>
        <w:t>aprobado las bases reguladoras del proceso selectivo para la contratación de 25 personas en prácticas, dentro del programa de primera experiencia profesional del Servicio Público de Empleo del Principado, por el que el Ayuntamiento de Gijón recibe una subvención de 513.000 euros.</w:t>
      </w:r>
    </w:p>
    <w:p w:rsidR="007F061A" w:rsidRDefault="007F061A" w:rsidP="00434580">
      <w:pPr>
        <w:spacing w:line="276" w:lineRule="auto"/>
        <w:ind w:left="0"/>
        <w:rPr>
          <w:rFonts w:asciiTheme="majorHAnsi" w:hAnsiTheme="majorHAnsi" w:cstheme="minorHAnsi"/>
          <w:bCs/>
          <w:sz w:val="24"/>
          <w:szCs w:val="24"/>
        </w:rPr>
      </w:pPr>
    </w:p>
    <w:p w:rsidR="007F061A" w:rsidRDefault="007F061A" w:rsidP="0043458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Este programa está dirigido a personas desempleadas, menores de 30 años e inscritas en el Sistema de Garantía Juvenil, que reúnan los requisitos para la formalización de un contrato en prácticas. El proceso de selección se desarrollará mediante un concurso, en el que se tendrá en cuenta la formación relacionada con el perfil profesional del puesto ofertado, las titulaciones, la condición de víctima de violencia de género, discapacidad, </w:t>
      </w:r>
      <w:r>
        <w:rPr>
          <w:rFonts w:asciiTheme="majorHAnsi" w:hAnsiTheme="majorHAnsi" w:cstheme="minorHAnsi"/>
          <w:bCs/>
          <w:sz w:val="24"/>
          <w:szCs w:val="24"/>
        </w:rPr>
        <w:lastRenderedPageBreak/>
        <w:t>cargas familiares o percepción de prestaciones sociales, entre otras cuestiones. El plazo de inscripción en el proceso será de diez días hábiles desde la publicación de las bases.</w:t>
      </w:r>
    </w:p>
    <w:p w:rsidR="00D979F3" w:rsidRDefault="00D979F3" w:rsidP="00434580">
      <w:pPr>
        <w:spacing w:line="276" w:lineRule="auto"/>
        <w:ind w:left="0"/>
        <w:rPr>
          <w:rFonts w:asciiTheme="majorHAnsi" w:hAnsiTheme="majorHAnsi" w:cstheme="minorHAnsi"/>
          <w:bCs/>
          <w:sz w:val="24"/>
          <w:szCs w:val="24"/>
        </w:rPr>
      </w:pPr>
    </w:p>
    <w:p w:rsidR="00D979F3" w:rsidRDefault="00D979F3" w:rsidP="0043458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Por último, se ha desestimado el recurso de reposición interpuesto por Inversiones Inmobiliarias Cadavieco, tras denegársele la licencia de obras solicitada para la adecuación de una oficina en dos viviendas, en un edificio de oficinas ubicado en la calle Los Moros, 51. </w:t>
      </w:r>
    </w:p>
    <w:p w:rsidR="00D979F3" w:rsidRDefault="00D979F3" w:rsidP="00434580">
      <w:pPr>
        <w:spacing w:line="276" w:lineRule="auto"/>
        <w:ind w:left="0"/>
        <w:rPr>
          <w:rFonts w:asciiTheme="majorHAnsi" w:hAnsiTheme="majorHAnsi" w:cstheme="minorHAnsi"/>
          <w:bCs/>
          <w:sz w:val="24"/>
          <w:szCs w:val="24"/>
        </w:rPr>
      </w:pPr>
    </w:p>
    <w:p w:rsidR="00D979F3" w:rsidRPr="007F061A" w:rsidRDefault="00D979F3" w:rsidP="00434580">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El recurso fue desestimado ya que la licencia para vivienda en la quinta planta fue concedida en base al PGO vigente en el momento de solicitud de la misma, posteriormente anulado por sentencia judicial, y el resto de viviendas no cuentan con la respectiva autorización municipal, por tanto, resultan ilegales. Con todo ello, los argumentos del recurrente no desvirtúan la fundamentación de la denegación de la licencia solicitada.  </w:t>
      </w:r>
    </w:p>
    <w:p w:rsidR="007F061A" w:rsidRPr="007F061A" w:rsidRDefault="007F061A" w:rsidP="00434580">
      <w:pPr>
        <w:spacing w:line="276" w:lineRule="auto"/>
        <w:ind w:left="0"/>
        <w:rPr>
          <w:rFonts w:asciiTheme="majorHAnsi" w:hAnsiTheme="majorHAnsi" w:cstheme="minorHAnsi"/>
          <w:bCs/>
          <w:sz w:val="24"/>
          <w:szCs w:val="24"/>
        </w:rPr>
      </w:pPr>
    </w:p>
    <w:p w:rsidR="007F061A" w:rsidRPr="007F061A" w:rsidRDefault="007F061A" w:rsidP="00434580">
      <w:pPr>
        <w:spacing w:line="276" w:lineRule="auto"/>
        <w:ind w:left="0"/>
        <w:rPr>
          <w:rFonts w:asciiTheme="majorHAnsi" w:hAnsiTheme="majorHAnsi" w:cstheme="minorHAnsi"/>
          <w:bCs/>
          <w:sz w:val="22"/>
          <w:szCs w:val="22"/>
        </w:rPr>
      </w:pPr>
    </w:p>
    <w:sectPr w:rsidR="007F061A" w:rsidRPr="007F061A"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1A" w:rsidRDefault="007F061A" w:rsidP="00EC6DB2">
      <w:r>
        <w:separator/>
      </w:r>
    </w:p>
  </w:endnote>
  <w:endnote w:type="continuationSeparator" w:id="0">
    <w:p w:rsidR="007F061A" w:rsidRDefault="007F061A"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A" w:rsidRPr="00A73A7D" w:rsidRDefault="007F061A"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7F061A" w:rsidTr="00D74121">
      <w:tc>
        <w:tcPr>
          <w:tcW w:w="8330" w:type="dxa"/>
        </w:tcPr>
        <w:p w:rsidR="007F061A" w:rsidRPr="00A73A7D" w:rsidRDefault="007F061A" w:rsidP="00EC6DB2">
          <w:pPr>
            <w:pStyle w:val="NoSpacing1"/>
            <w:ind w:left="709" w:hanging="709"/>
            <w:rPr>
              <w:sz w:val="12"/>
              <w:szCs w:val="12"/>
            </w:rPr>
          </w:pPr>
        </w:p>
        <w:p w:rsidR="007F061A" w:rsidRPr="00A73A7D" w:rsidRDefault="007F061A" w:rsidP="00EC6DB2">
          <w:pPr>
            <w:pStyle w:val="NoSpacing1"/>
            <w:tabs>
              <w:tab w:val="left" w:pos="176"/>
            </w:tabs>
            <w:ind w:left="709" w:hanging="709"/>
            <w:rPr>
              <w:b/>
              <w:sz w:val="12"/>
              <w:szCs w:val="12"/>
            </w:rPr>
          </w:pPr>
          <w:r w:rsidRPr="00A73A7D">
            <w:rPr>
              <w:b/>
              <w:sz w:val="12"/>
              <w:szCs w:val="12"/>
            </w:rPr>
            <w:t>Ayuntamiento de Gijón</w:t>
          </w:r>
        </w:p>
        <w:p w:rsidR="007F061A" w:rsidRDefault="007F061A" w:rsidP="00EC6DB2">
          <w:pPr>
            <w:pStyle w:val="NoSpacing1"/>
            <w:tabs>
              <w:tab w:val="left" w:pos="176"/>
            </w:tabs>
            <w:ind w:left="709" w:hanging="709"/>
            <w:rPr>
              <w:sz w:val="12"/>
              <w:szCs w:val="12"/>
            </w:rPr>
          </w:pPr>
        </w:p>
        <w:p w:rsidR="007F061A" w:rsidRPr="00A73A7D" w:rsidRDefault="007F061A"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7F061A" w:rsidRPr="00A73A7D" w:rsidRDefault="007F061A" w:rsidP="00EC6DB2">
          <w:pPr>
            <w:pStyle w:val="NoSpacing1"/>
            <w:tabs>
              <w:tab w:val="left" w:pos="176"/>
            </w:tabs>
            <w:ind w:left="709" w:hanging="709"/>
            <w:rPr>
              <w:sz w:val="12"/>
              <w:szCs w:val="12"/>
            </w:rPr>
          </w:pPr>
          <w:r w:rsidRPr="00A73A7D">
            <w:rPr>
              <w:sz w:val="12"/>
              <w:szCs w:val="12"/>
            </w:rPr>
            <w:t xml:space="preserve">Principado de Asturias – España </w:t>
          </w:r>
        </w:p>
        <w:p w:rsidR="007F061A" w:rsidRDefault="007F061A"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7F061A" w:rsidRPr="00A73A7D" w:rsidRDefault="007F061A" w:rsidP="00EC6DB2">
          <w:pPr>
            <w:pStyle w:val="NoSpacing1"/>
            <w:tabs>
              <w:tab w:val="left" w:pos="176"/>
            </w:tabs>
            <w:ind w:left="709" w:hanging="709"/>
            <w:rPr>
              <w:sz w:val="12"/>
              <w:szCs w:val="12"/>
            </w:rPr>
          </w:pPr>
        </w:p>
        <w:p w:rsidR="007F061A" w:rsidRPr="0015015B" w:rsidRDefault="007F061A"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7F061A" w:rsidRDefault="007F061A">
          <w:pPr>
            <w:pStyle w:val="Piedepgina"/>
          </w:pPr>
        </w:p>
      </w:tc>
      <w:tc>
        <w:tcPr>
          <w:tcW w:w="1417" w:type="dxa"/>
        </w:tcPr>
        <w:p w:rsidR="007F061A" w:rsidRPr="00EC6DB2" w:rsidRDefault="007F061A" w:rsidP="00EC6DB2">
          <w:pPr>
            <w:pStyle w:val="Piedepgina"/>
            <w:jc w:val="center"/>
            <w:rPr>
              <w:rFonts w:ascii="Verdana" w:hAnsi="Verdana"/>
              <w:b/>
              <w:sz w:val="16"/>
              <w:szCs w:val="16"/>
            </w:rPr>
          </w:pPr>
        </w:p>
      </w:tc>
    </w:tr>
  </w:tbl>
  <w:p w:rsidR="007F061A" w:rsidRDefault="007F06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1A" w:rsidRDefault="007F061A" w:rsidP="00EC6DB2">
      <w:r>
        <w:separator/>
      </w:r>
    </w:p>
  </w:footnote>
  <w:footnote w:type="continuationSeparator" w:id="0">
    <w:p w:rsidR="007F061A" w:rsidRDefault="007F061A"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1A" w:rsidRDefault="007F061A">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701E8"/>
    <w:rsid w:val="00074A41"/>
    <w:rsid w:val="00076C0A"/>
    <w:rsid w:val="0008031B"/>
    <w:rsid w:val="00083760"/>
    <w:rsid w:val="00090CB5"/>
    <w:rsid w:val="00097093"/>
    <w:rsid w:val="00097D08"/>
    <w:rsid w:val="000A1776"/>
    <w:rsid w:val="000A3EEE"/>
    <w:rsid w:val="000B053C"/>
    <w:rsid w:val="000B5AD7"/>
    <w:rsid w:val="000B5F2C"/>
    <w:rsid w:val="000C0807"/>
    <w:rsid w:val="000C68C0"/>
    <w:rsid w:val="000D5975"/>
    <w:rsid w:val="000D6CB0"/>
    <w:rsid w:val="000E73B7"/>
    <w:rsid w:val="000F2140"/>
    <w:rsid w:val="000F720B"/>
    <w:rsid w:val="000F7BC4"/>
    <w:rsid w:val="00101748"/>
    <w:rsid w:val="00103F91"/>
    <w:rsid w:val="00104CC7"/>
    <w:rsid w:val="001055F2"/>
    <w:rsid w:val="001077C8"/>
    <w:rsid w:val="00110C2F"/>
    <w:rsid w:val="001140E0"/>
    <w:rsid w:val="00115828"/>
    <w:rsid w:val="0011663E"/>
    <w:rsid w:val="001234D9"/>
    <w:rsid w:val="00123836"/>
    <w:rsid w:val="00127260"/>
    <w:rsid w:val="00136134"/>
    <w:rsid w:val="00136DE9"/>
    <w:rsid w:val="00151C90"/>
    <w:rsid w:val="001550F8"/>
    <w:rsid w:val="0016103B"/>
    <w:rsid w:val="0016242A"/>
    <w:rsid w:val="001628DE"/>
    <w:rsid w:val="00165C6A"/>
    <w:rsid w:val="00166DE4"/>
    <w:rsid w:val="00171879"/>
    <w:rsid w:val="00174F44"/>
    <w:rsid w:val="00177DCA"/>
    <w:rsid w:val="0018576F"/>
    <w:rsid w:val="00192B05"/>
    <w:rsid w:val="00193890"/>
    <w:rsid w:val="0019793D"/>
    <w:rsid w:val="001A111C"/>
    <w:rsid w:val="001B444B"/>
    <w:rsid w:val="001D1A6C"/>
    <w:rsid w:val="001D1FCF"/>
    <w:rsid w:val="001D2FE7"/>
    <w:rsid w:val="001D3015"/>
    <w:rsid w:val="001D3EAD"/>
    <w:rsid w:val="001D770A"/>
    <w:rsid w:val="001E32E3"/>
    <w:rsid w:val="001E3C93"/>
    <w:rsid w:val="001E70F4"/>
    <w:rsid w:val="001F06E5"/>
    <w:rsid w:val="00200A47"/>
    <w:rsid w:val="002036FA"/>
    <w:rsid w:val="002047CB"/>
    <w:rsid w:val="00204BF6"/>
    <w:rsid w:val="00215A70"/>
    <w:rsid w:val="00215B19"/>
    <w:rsid w:val="00223076"/>
    <w:rsid w:val="00227B61"/>
    <w:rsid w:val="00230104"/>
    <w:rsid w:val="0023195A"/>
    <w:rsid w:val="002359D2"/>
    <w:rsid w:val="00235CF3"/>
    <w:rsid w:val="002367C0"/>
    <w:rsid w:val="00240C74"/>
    <w:rsid w:val="00245392"/>
    <w:rsid w:val="0024667B"/>
    <w:rsid w:val="00247D67"/>
    <w:rsid w:val="00250881"/>
    <w:rsid w:val="0025178F"/>
    <w:rsid w:val="002556F6"/>
    <w:rsid w:val="00264EE4"/>
    <w:rsid w:val="00266499"/>
    <w:rsid w:val="0026763C"/>
    <w:rsid w:val="0028507F"/>
    <w:rsid w:val="00293F32"/>
    <w:rsid w:val="002A0BD3"/>
    <w:rsid w:val="002A2042"/>
    <w:rsid w:val="002A385E"/>
    <w:rsid w:val="002A678F"/>
    <w:rsid w:val="002B0DB5"/>
    <w:rsid w:val="002B211A"/>
    <w:rsid w:val="002B3350"/>
    <w:rsid w:val="002C190C"/>
    <w:rsid w:val="002C56FA"/>
    <w:rsid w:val="002D0CC0"/>
    <w:rsid w:val="002D4EDD"/>
    <w:rsid w:val="002D50F0"/>
    <w:rsid w:val="002E286C"/>
    <w:rsid w:val="002E48F3"/>
    <w:rsid w:val="002F2408"/>
    <w:rsid w:val="002F3BBA"/>
    <w:rsid w:val="002F758C"/>
    <w:rsid w:val="00301F83"/>
    <w:rsid w:val="00303317"/>
    <w:rsid w:val="00306A36"/>
    <w:rsid w:val="0031240A"/>
    <w:rsid w:val="00312D99"/>
    <w:rsid w:val="00313395"/>
    <w:rsid w:val="00326085"/>
    <w:rsid w:val="00333B23"/>
    <w:rsid w:val="0034021F"/>
    <w:rsid w:val="00346BA1"/>
    <w:rsid w:val="00356223"/>
    <w:rsid w:val="0036001D"/>
    <w:rsid w:val="003602CC"/>
    <w:rsid w:val="00360D8D"/>
    <w:rsid w:val="00362AE0"/>
    <w:rsid w:val="00364517"/>
    <w:rsid w:val="00365C24"/>
    <w:rsid w:val="003675A2"/>
    <w:rsid w:val="00370A57"/>
    <w:rsid w:val="00373257"/>
    <w:rsid w:val="00377E43"/>
    <w:rsid w:val="0038074E"/>
    <w:rsid w:val="003808D4"/>
    <w:rsid w:val="003A3453"/>
    <w:rsid w:val="003A4208"/>
    <w:rsid w:val="003A54E5"/>
    <w:rsid w:val="003A678B"/>
    <w:rsid w:val="003B1045"/>
    <w:rsid w:val="003B1E39"/>
    <w:rsid w:val="003B7D1D"/>
    <w:rsid w:val="003C0047"/>
    <w:rsid w:val="003C0F31"/>
    <w:rsid w:val="003C4487"/>
    <w:rsid w:val="003D0F19"/>
    <w:rsid w:val="003D3DA8"/>
    <w:rsid w:val="003D4641"/>
    <w:rsid w:val="003D6CFF"/>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34580"/>
    <w:rsid w:val="0044265A"/>
    <w:rsid w:val="0045163B"/>
    <w:rsid w:val="004540F3"/>
    <w:rsid w:val="00454B75"/>
    <w:rsid w:val="004558C4"/>
    <w:rsid w:val="004619E3"/>
    <w:rsid w:val="00471475"/>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0D51"/>
    <w:rsid w:val="004C20B6"/>
    <w:rsid w:val="004C2964"/>
    <w:rsid w:val="004C384E"/>
    <w:rsid w:val="004C5383"/>
    <w:rsid w:val="004D55AB"/>
    <w:rsid w:val="004D745C"/>
    <w:rsid w:val="004E7AF7"/>
    <w:rsid w:val="004F203D"/>
    <w:rsid w:val="00501029"/>
    <w:rsid w:val="00501B0F"/>
    <w:rsid w:val="0050387F"/>
    <w:rsid w:val="00503CF6"/>
    <w:rsid w:val="00504AF6"/>
    <w:rsid w:val="0050785F"/>
    <w:rsid w:val="00527364"/>
    <w:rsid w:val="00527A0A"/>
    <w:rsid w:val="00531201"/>
    <w:rsid w:val="00531A9B"/>
    <w:rsid w:val="0053206E"/>
    <w:rsid w:val="005339A4"/>
    <w:rsid w:val="00551B69"/>
    <w:rsid w:val="00552A42"/>
    <w:rsid w:val="00564E85"/>
    <w:rsid w:val="005671D6"/>
    <w:rsid w:val="00570E8D"/>
    <w:rsid w:val="0057186C"/>
    <w:rsid w:val="00571A32"/>
    <w:rsid w:val="0057642C"/>
    <w:rsid w:val="005764D3"/>
    <w:rsid w:val="00584E47"/>
    <w:rsid w:val="00586AEC"/>
    <w:rsid w:val="00596477"/>
    <w:rsid w:val="005971F3"/>
    <w:rsid w:val="005A23F4"/>
    <w:rsid w:val="005A7500"/>
    <w:rsid w:val="005B3A2D"/>
    <w:rsid w:val="005B63B4"/>
    <w:rsid w:val="005B7BE2"/>
    <w:rsid w:val="005D0A23"/>
    <w:rsid w:val="005D23FE"/>
    <w:rsid w:val="005D6EC6"/>
    <w:rsid w:val="005E5282"/>
    <w:rsid w:val="005E6FD3"/>
    <w:rsid w:val="005F2512"/>
    <w:rsid w:val="005F2CEF"/>
    <w:rsid w:val="006036FE"/>
    <w:rsid w:val="00605A65"/>
    <w:rsid w:val="00620829"/>
    <w:rsid w:val="00625637"/>
    <w:rsid w:val="00626318"/>
    <w:rsid w:val="00642190"/>
    <w:rsid w:val="006434D4"/>
    <w:rsid w:val="00643666"/>
    <w:rsid w:val="00644E2A"/>
    <w:rsid w:val="00645811"/>
    <w:rsid w:val="006467E0"/>
    <w:rsid w:val="00652E6B"/>
    <w:rsid w:val="00655D1A"/>
    <w:rsid w:val="00662990"/>
    <w:rsid w:val="00666C3D"/>
    <w:rsid w:val="00670818"/>
    <w:rsid w:val="00670C92"/>
    <w:rsid w:val="00671315"/>
    <w:rsid w:val="00671F17"/>
    <w:rsid w:val="00672B8E"/>
    <w:rsid w:val="00674B6F"/>
    <w:rsid w:val="00680521"/>
    <w:rsid w:val="00681D46"/>
    <w:rsid w:val="00685947"/>
    <w:rsid w:val="006939B7"/>
    <w:rsid w:val="00694D16"/>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70067D"/>
    <w:rsid w:val="00701BD3"/>
    <w:rsid w:val="00703A3D"/>
    <w:rsid w:val="007056AA"/>
    <w:rsid w:val="00707367"/>
    <w:rsid w:val="007143FE"/>
    <w:rsid w:val="00715E8A"/>
    <w:rsid w:val="007209CF"/>
    <w:rsid w:val="00737722"/>
    <w:rsid w:val="00741129"/>
    <w:rsid w:val="00745932"/>
    <w:rsid w:val="00750EC1"/>
    <w:rsid w:val="00750F7C"/>
    <w:rsid w:val="0075382F"/>
    <w:rsid w:val="00753C73"/>
    <w:rsid w:val="00766B04"/>
    <w:rsid w:val="00771EB3"/>
    <w:rsid w:val="00772DB5"/>
    <w:rsid w:val="00774575"/>
    <w:rsid w:val="00785773"/>
    <w:rsid w:val="00793FCA"/>
    <w:rsid w:val="007A417B"/>
    <w:rsid w:val="007A6956"/>
    <w:rsid w:val="007A733D"/>
    <w:rsid w:val="007B6D6E"/>
    <w:rsid w:val="007C682C"/>
    <w:rsid w:val="007D0400"/>
    <w:rsid w:val="007D06FD"/>
    <w:rsid w:val="007D5C09"/>
    <w:rsid w:val="007E63CC"/>
    <w:rsid w:val="007E6865"/>
    <w:rsid w:val="007F061A"/>
    <w:rsid w:val="007F1429"/>
    <w:rsid w:val="007F7C19"/>
    <w:rsid w:val="00800BF6"/>
    <w:rsid w:val="008071D1"/>
    <w:rsid w:val="008230C4"/>
    <w:rsid w:val="008235A4"/>
    <w:rsid w:val="00825401"/>
    <w:rsid w:val="0083191A"/>
    <w:rsid w:val="00836397"/>
    <w:rsid w:val="00840276"/>
    <w:rsid w:val="0085595E"/>
    <w:rsid w:val="00857023"/>
    <w:rsid w:val="00857165"/>
    <w:rsid w:val="008624AD"/>
    <w:rsid w:val="00862EE5"/>
    <w:rsid w:val="00865F40"/>
    <w:rsid w:val="008706D4"/>
    <w:rsid w:val="00884F42"/>
    <w:rsid w:val="00886C57"/>
    <w:rsid w:val="008939DF"/>
    <w:rsid w:val="008A3218"/>
    <w:rsid w:val="008B1844"/>
    <w:rsid w:val="008B2C7E"/>
    <w:rsid w:val="008B33DF"/>
    <w:rsid w:val="008B420B"/>
    <w:rsid w:val="008C7987"/>
    <w:rsid w:val="008D54BE"/>
    <w:rsid w:val="008D5F92"/>
    <w:rsid w:val="008D63B3"/>
    <w:rsid w:val="008E2DD6"/>
    <w:rsid w:val="008E6924"/>
    <w:rsid w:val="008E7056"/>
    <w:rsid w:val="008F3AB5"/>
    <w:rsid w:val="008F6F67"/>
    <w:rsid w:val="008F7171"/>
    <w:rsid w:val="0090452D"/>
    <w:rsid w:val="00904ADD"/>
    <w:rsid w:val="00905F76"/>
    <w:rsid w:val="00911020"/>
    <w:rsid w:val="00914DC3"/>
    <w:rsid w:val="0092131E"/>
    <w:rsid w:val="009234D0"/>
    <w:rsid w:val="009251A8"/>
    <w:rsid w:val="0092687A"/>
    <w:rsid w:val="00930D6C"/>
    <w:rsid w:val="009312CB"/>
    <w:rsid w:val="00936AC6"/>
    <w:rsid w:val="009401D3"/>
    <w:rsid w:val="00940DCA"/>
    <w:rsid w:val="00941FCF"/>
    <w:rsid w:val="00952AE0"/>
    <w:rsid w:val="009537BD"/>
    <w:rsid w:val="00960C58"/>
    <w:rsid w:val="00963A59"/>
    <w:rsid w:val="0096449C"/>
    <w:rsid w:val="009667AF"/>
    <w:rsid w:val="00966BB9"/>
    <w:rsid w:val="00970923"/>
    <w:rsid w:val="009759B6"/>
    <w:rsid w:val="00975A29"/>
    <w:rsid w:val="00976026"/>
    <w:rsid w:val="009826E0"/>
    <w:rsid w:val="00982CDA"/>
    <w:rsid w:val="00983336"/>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3706"/>
    <w:rsid w:val="009F7EFA"/>
    <w:rsid w:val="00A03846"/>
    <w:rsid w:val="00A119B7"/>
    <w:rsid w:val="00A13486"/>
    <w:rsid w:val="00A259A8"/>
    <w:rsid w:val="00A3210A"/>
    <w:rsid w:val="00A41331"/>
    <w:rsid w:val="00A42C0C"/>
    <w:rsid w:val="00A5455E"/>
    <w:rsid w:val="00A5711D"/>
    <w:rsid w:val="00A6230C"/>
    <w:rsid w:val="00A625C9"/>
    <w:rsid w:val="00A670CC"/>
    <w:rsid w:val="00A67228"/>
    <w:rsid w:val="00A67CFB"/>
    <w:rsid w:val="00A72ECC"/>
    <w:rsid w:val="00A77E6C"/>
    <w:rsid w:val="00A80729"/>
    <w:rsid w:val="00A810BF"/>
    <w:rsid w:val="00A879EE"/>
    <w:rsid w:val="00A91038"/>
    <w:rsid w:val="00A91BDA"/>
    <w:rsid w:val="00A95E7C"/>
    <w:rsid w:val="00A96056"/>
    <w:rsid w:val="00AA2DCB"/>
    <w:rsid w:val="00AB6F23"/>
    <w:rsid w:val="00AC1BFB"/>
    <w:rsid w:val="00AC1E49"/>
    <w:rsid w:val="00AC5443"/>
    <w:rsid w:val="00AC577C"/>
    <w:rsid w:val="00AC5D70"/>
    <w:rsid w:val="00AC7E9A"/>
    <w:rsid w:val="00AD4DD6"/>
    <w:rsid w:val="00AD5B13"/>
    <w:rsid w:val="00AF37CA"/>
    <w:rsid w:val="00AF788C"/>
    <w:rsid w:val="00B03FDD"/>
    <w:rsid w:val="00B05373"/>
    <w:rsid w:val="00B07989"/>
    <w:rsid w:val="00B12A99"/>
    <w:rsid w:val="00B12B9D"/>
    <w:rsid w:val="00B1628A"/>
    <w:rsid w:val="00B22328"/>
    <w:rsid w:val="00B22DFE"/>
    <w:rsid w:val="00B304EA"/>
    <w:rsid w:val="00B4126A"/>
    <w:rsid w:val="00B43C97"/>
    <w:rsid w:val="00B54B71"/>
    <w:rsid w:val="00B57D66"/>
    <w:rsid w:val="00B66E90"/>
    <w:rsid w:val="00B70892"/>
    <w:rsid w:val="00B87D01"/>
    <w:rsid w:val="00B93E72"/>
    <w:rsid w:val="00B95CB7"/>
    <w:rsid w:val="00B960FC"/>
    <w:rsid w:val="00BA34E5"/>
    <w:rsid w:val="00BB0B97"/>
    <w:rsid w:val="00BB470A"/>
    <w:rsid w:val="00BB6D2B"/>
    <w:rsid w:val="00BC0341"/>
    <w:rsid w:val="00BC2F22"/>
    <w:rsid w:val="00BC41E5"/>
    <w:rsid w:val="00BD325C"/>
    <w:rsid w:val="00BD52CB"/>
    <w:rsid w:val="00BE1869"/>
    <w:rsid w:val="00BE71DA"/>
    <w:rsid w:val="00BF0AAB"/>
    <w:rsid w:val="00BF1E1D"/>
    <w:rsid w:val="00C00335"/>
    <w:rsid w:val="00C04F0A"/>
    <w:rsid w:val="00C05EB3"/>
    <w:rsid w:val="00C064F4"/>
    <w:rsid w:val="00C07528"/>
    <w:rsid w:val="00C106A7"/>
    <w:rsid w:val="00C111A7"/>
    <w:rsid w:val="00C12EC5"/>
    <w:rsid w:val="00C31F46"/>
    <w:rsid w:val="00C32085"/>
    <w:rsid w:val="00C32B29"/>
    <w:rsid w:val="00C42F12"/>
    <w:rsid w:val="00C4323E"/>
    <w:rsid w:val="00C45A9E"/>
    <w:rsid w:val="00C47FCE"/>
    <w:rsid w:val="00C504EC"/>
    <w:rsid w:val="00C507DF"/>
    <w:rsid w:val="00C50E64"/>
    <w:rsid w:val="00C56141"/>
    <w:rsid w:val="00C57F8E"/>
    <w:rsid w:val="00C6212B"/>
    <w:rsid w:val="00C62B64"/>
    <w:rsid w:val="00C647A2"/>
    <w:rsid w:val="00C66F91"/>
    <w:rsid w:val="00C702F1"/>
    <w:rsid w:val="00C713EB"/>
    <w:rsid w:val="00C76365"/>
    <w:rsid w:val="00C770FD"/>
    <w:rsid w:val="00C80435"/>
    <w:rsid w:val="00C81FFD"/>
    <w:rsid w:val="00C83DA1"/>
    <w:rsid w:val="00C85A45"/>
    <w:rsid w:val="00C863D0"/>
    <w:rsid w:val="00C903AC"/>
    <w:rsid w:val="00C91786"/>
    <w:rsid w:val="00C92D7F"/>
    <w:rsid w:val="00C94A03"/>
    <w:rsid w:val="00C9769A"/>
    <w:rsid w:val="00CA14C7"/>
    <w:rsid w:val="00CA23F4"/>
    <w:rsid w:val="00CA29E2"/>
    <w:rsid w:val="00CC0375"/>
    <w:rsid w:val="00CC039C"/>
    <w:rsid w:val="00CC63C8"/>
    <w:rsid w:val="00CC69F9"/>
    <w:rsid w:val="00CD17B8"/>
    <w:rsid w:val="00CD2278"/>
    <w:rsid w:val="00CE66CC"/>
    <w:rsid w:val="00CE7228"/>
    <w:rsid w:val="00CE7755"/>
    <w:rsid w:val="00CE79D6"/>
    <w:rsid w:val="00CF0693"/>
    <w:rsid w:val="00D0255F"/>
    <w:rsid w:val="00D04B76"/>
    <w:rsid w:val="00D124CE"/>
    <w:rsid w:val="00D12AD3"/>
    <w:rsid w:val="00D16445"/>
    <w:rsid w:val="00D20AFB"/>
    <w:rsid w:val="00D25356"/>
    <w:rsid w:val="00D30D47"/>
    <w:rsid w:val="00D35F2A"/>
    <w:rsid w:val="00D374FB"/>
    <w:rsid w:val="00D4181C"/>
    <w:rsid w:val="00D46280"/>
    <w:rsid w:val="00D54607"/>
    <w:rsid w:val="00D57E72"/>
    <w:rsid w:val="00D606F7"/>
    <w:rsid w:val="00D66AA1"/>
    <w:rsid w:val="00D70BF9"/>
    <w:rsid w:val="00D72558"/>
    <w:rsid w:val="00D74121"/>
    <w:rsid w:val="00D7493A"/>
    <w:rsid w:val="00D75C3F"/>
    <w:rsid w:val="00D77151"/>
    <w:rsid w:val="00D82D68"/>
    <w:rsid w:val="00D85D91"/>
    <w:rsid w:val="00D87068"/>
    <w:rsid w:val="00D95DA9"/>
    <w:rsid w:val="00D97223"/>
    <w:rsid w:val="00D979F3"/>
    <w:rsid w:val="00DA1CFE"/>
    <w:rsid w:val="00DA2AC4"/>
    <w:rsid w:val="00DA3C4B"/>
    <w:rsid w:val="00DA6A9A"/>
    <w:rsid w:val="00DB0F11"/>
    <w:rsid w:val="00DB2CBC"/>
    <w:rsid w:val="00DB3F1E"/>
    <w:rsid w:val="00DB5A5F"/>
    <w:rsid w:val="00DC1010"/>
    <w:rsid w:val="00DC1D03"/>
    <w:rsid w:val="00DC25FF"/>
    <w:rsid w:val="00DC2761"/>
    <w:rsid w:val="00DD1DBC"/>
    <w:rsid w:val="00DD203D"/>
    <w:rsid w:val="00DD51D2"/>
    <w:rsid w:val="00DD5675"/>
    <w:rsid w:val="00DD6B8A"/>
    <w:rsid w:val="00DE178F"/>
    <w:rsid w:val="00DE21E7"/>
    <w:rsid w:val="00DE4A47"/>
    <w:rsid w:val="00DF3EEB"/>
    <w:rsid w:val="00DF6265"/>
    <w:rsid w:val="00E01445"/>
    <w:rsid w:val="00E0533A"/>
    <w:rsid w:val="00E16563"/>
    <w:rsid w:val="00E16898"/>
    <w:rsid w:val="00E172C4"/>
    <w:rsid w:val="00E3000E"/>
    <w:rsid w:val="00E326D0"/>
    <w:rsid w:val="00E32954"/>
    <w:rsid w:val="00E41A8F"/>
    <w:rsid w:val="00E4524E"/>
    <w:rsid w:val="00E52A3A"/>
    <w:rsid w:val="00E538CA"/>
    <w:rsid w:val="00E6124F"/>
    <w:rsid w:val="00E61C49"/>
    <w:rsid w:val="00E66F5F"/>
    <w:rsid w:val="00E7271D"/>
    <w:rsid w:val="00E7783A"/>
    <w:rsid w:val="00E81567"/>
    <w:rsid w:val="00E840E2"/>
    <w:rsid w:val="00E855FE"/>
    <w:rsid w:val="00E859A4"/>
    <w:rsid w:val="00E85C52"/>
    <w:rsid w:val="00E8763A"/>
    <w:rsid w:val="00E91DD6"/>
    <w:rsid w:val="00E937DE"/>
    <w:rsid w:val="00E96075"/>
    <w:rsid w:val="00E9732B"/>
    <w:rsid w:val="00EA23F7"/>
    <w:rsid w:val="00EA2B04"/>
    <w:rsid w:val="00EA7663"/>
    <w:rsid w:val="00EA7B5B"/>
    <w:rsid w:val="00EB0644"/>
    <w:rsid w:val="00EB61C9"/>
    <w:rsid w:val="00EC6DB2"/>
    <w:rsid w:val="00ED0970"/>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62"/>
    <w:rsid w:val="00F338CD"/>
    <w:rsid w:val="00F47395"/>
    <w:rsid w:val="00F50E0E"/>
    <w:rsid w:val="00F55C12"/>
    <w:rsid w:val="00F60350"/>
    <w:rsid w:val="00F620CF"/>
    <w:rsid w:val="00F647DE"/>
    <w:rsid w:val="00F72413"/>
    <w:rsid w:val="00F8764E"/>
    <w:rsid w:val="00F92FBE"/>
    <w:rsid w:val="00F94A27"/>
    <w:rsid w:val="00FA13C9"/>
    <w:rsid w:val="00FB1BBD"/>
    <w:rsid w:val="00FB3DB7"/>
    <w:rsid w:val="00FB3F9D"/>
    <w:rsid w:val="00FC0740"/>
    <w:rsid w:val="00FD0304"/>
    <w:rsid w:val="00FD2BBE"/>
    <w:rsid w:val="00FD7359"/>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364943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FCEBE-AA45-4FAE-B514-BC85C896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538</Words>
  <Characters>2963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2021-01-28T12:55:00Z</cp:lastPrinted>
  <dcterms:created xsi:type="dcterms:W3CDTF">2021-02-02T09:16:00Z</dcterms:created>
  <dcterms:modified xsi:type="dcterms:W3CDTF">2021-02-02T09:36:00Z</dcterms:modified>
</cp:coreProperties>
</file>